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AB0C9" w14:textId="77777777" w:rsidR="001353B9" w:rsidRPr="00BE0399" w:rsidRDefault="001353B9" w:rsidP="001353B9">
      <w:pPr>
        <w:shd w:val="clear" w:color="auto" w:fill="3366FF"/>
        <w:tabs>
          <w:tab w:val="left" w:pos="7380"/>
        </w:tabs>
        <w:jc w:val="center"/>
        <w:rPr>
          <w:rFonts w:ascii="Book Antiqua" w:hAnsi="Book Antiqua"/>
          <w:color w:val="FFFFFF"/>
          <w:sz w:val="64"/>
          <w:lang w:val="fr-FR"/>
        </w:rPr>
      </w:pPr>
      <w:bookmarkStart w:id="0" w:name="_GoBack"/>
      <w:bookmarkEnd w:id="0"/>
      <w:r w:rsidRPr="00BE0399">
        <w:rPr>
          <w:rFonts w:ascii="Book Antiqua" w:hAnsi="Book Antiqua"/>
          <w:color w:val="FFFFFF"/>
          <w:sz w:val="64"/>
          <w:lang w:val="fr-FR"/>
        </w:rPr>
        <w:t>Faits saillants d’A.A.W.S.</w:t>
      </w:r>
    </w:p>
    <w:p w14:paraId="5C6CFD9D" w14:textId="77777777" w:rsidR="001353B9" w:rsidRPr="00BE0399" w:rsidRDefault="001353B9" w:rsidP="001353B9">
      <w:pPr>
        <w:shd w:val="clear" w:color="auto" w:fill="3366FF"/>
        <w:tabs>
          <w:tab w:val="left" w:pos="7380"/>
        </w:tabs>
        <w:jc w:val="center"/>
        <w:rPr>
          <w:rFonts w:eastAsia="Times New Roman"/>
          <w:color w:val="auto"/>
          <w:sz w:val="20"/>
          <w:lang w:val="fr-FR" w:bidi="x-none"/>
        </w:rPr>
      </w:pPr>
      <w:r w:rsidRPr="00BE0399">
        <w:rPr>
          <w:rFonts w:ascii="Book Antiqua" w:hAnsi="Book Antiqua"/>
          <w:color w:val="FFFFFF"/>
          <w:sz w:val="32"/>
          <w:lang w:val="fr-FR"/>
        </w:rPr>
        <w:t>9 décembre 2016</w:t>
      </w:r>
    </w:p>
    <w:p w14:paraId="5C4A4DC5" w14:textId="77777777" w:rsidR="001353B9" w:rsidRDefault="001353B9" w:rsidP="001353B9">
      <w:pPr>
        <w:spacing w:after="120"/>
        <w:rPr>
          <w:b/>
          <w:sz w:val="22"/>
          <w:szCs w:val="22"/>
          <w:lang w:val="fr-FR"/>
        </w:rPr>
      </w:pPr>
    </w:p>
    <w:p w14:paraId="29966153" w14:textId="77777777" w:rsidR="001353B9" w:rsidRPr="00856F74" w:rsidRDefault="001353B9" w:rsidP="001353B9">
      <w:pPr>
        <w:spacing w:after="120"/>
        <w:rPr>
          <w:b/>
          <w:sz w:val="22"/>
          <w:szCs w:val="22"/>
          <w:lang w:val="fr-FR"/>
        </w:rPr>
      </w:pPr>
      <w:r>
        <w:rPr>
          <w:b/>
          <w:sz w:val="22"/>
          <w:szCs w:val="22"/>
          <w:lang w:val="fr-FR"/>
        </w:rPr>
        <w:t>Le conseil d’A.A. World Services a tenu une réunion le vendredi 9 décembre 2016 au Bureau des Services généraux, 475 Riverside Drive,</w:t>
      </w:r>
      <w:r w:rsidRPr="00856F74">
        <w:rPr>
          <w:b/>
          <w:sz w:val="22"/>
          <w:szCs w:val="22"/>
          <w:lang w:val="fr-FR"/>
        </w:rPr>
        <w:t xml:space="preserve"> New York, NY. </w:t>
      </w:r>
      <w:r>
        <w:rPr>
          <w:b/>
          <w:sz w:val="22"/>
          <w:szCs w:val="22"/>
          <w:lang w:val="fr-FR"/>
        </w:rPr>
        <w:t>Le président du Conseil d’A.A.W.S., Joe D., a ouvert la réunion et souhaité la bienvenue aux participants.</w:t>
      </w:r>
    </w:p>
    <w:p w14:paraId="09207011" w14:textId="77777777" w:rsidR="001353B9" w:rsidRPr="00856F74" w:rsidRDefault="001353B9" w:rsidP="001353B9">
      <w:pPr>
        <w:spacing w:after="120"/>
        <w:jc w:val="center"/>
        <w:rPr>
          <w:b/>
          <w:sz w:val="22"/>
          <w:szCs w:val="22"/>
          <w:lang w:val="fr-FR"/>
        </w:rPr>
      </w:pPr>
      <w:r>
        <w:rPr>
          <w:b/>
          <w:sz w:val="22"/>
          <w:szCs w:val="22"/>
          <w:lang w:val="fr-FR"/>
        </w:rPr>
        <w:t xml:space="preserve">RAPPORT DU DIRECTEUR GÉNÉRAL </w:t>
      </w:r>
    </w:p>
    <w:p w14:paraId="3C77F785" w14:textId="77777777" w:rsidR="001353B9" w:rsidRPr="00856F74" w:rsidRDefault="001353B9" w:rsidP="001353B9">
      <w:pPr>
        <w:spacing w:after="120"/>
        <w:rPr>
          <w:sz w:val="22"/>
          <w:szCs w:val="22"/>
          <w:lang w:val="fr-FR"/>
        </w:rPr>
      </w:pPr>
      <w:r>
        <w:rPr>
          <w:sz w:val="22"/>
          <w:szCs w:val="22"/>
          <w:lang w:val="fr-FR"/>
        </w:rPr>
        <w:t>Le directeur général, Greg T., a rapporté ce qui suit :</w:t>
      </w:r>
    </w:p>
    <w:p w14:paraId="615F7DC2" w14:textId="77777777" w:rsidR="001353B9" w:rsidRPr="00856F74" w:rsidRDefault="001353B9" w:rsidP="001353B9">
      <w:pPr>
        <w:spacing w:after="120"/>
        <w:rPr>
          <w:sz w:val="22"/>
          <w:szCs w:val="22"/>
          <w:lang w:val="fr-FR"/>
        </w:rPr>
      </w:pPr>
      <w:r>
        <w:rPr>
          <w:bCs/>
          <w:i/>
          <w:sz w:val="22"/>
          <w:szCs w:val="22"/>
          <w:lang w:val="fr-FR"/>
        </w:rPr>
        <w:t>Technologies de l’i</w:t>
      </w:r>
      <w:r w:rsidRPr="00856F74">
        <w:rPr>
          <w:bCs/>
          <w:i/>
          <w:sz w:val="22"/>
          <w:szCs w:val="22"/>
          <w:lang w:val="fr-FR"/>
        </w:rPr>
        <w:t xml:space="preserve">nformation </w:t>
      </w:r>
      <w:r w:rsidRPr="00856F74">
        <w:rPr>
          <w:sz w:val="22"/>
          <w:szCs w:val="22"/>
          <w:lang w:val="fr-FR"/>
        </w:rPr>
        <w:t xml:space="preserve">– </w:t>
      </w:r>
      <w:r>
        <w:rPr>
          <w:sz w:val="22"/>
          <w:szCs w:val="22"/>
          <w:lang w:val="fr-FR"/>
        </w:rPr>
        <w:t>L’équipe des TI</w:t>
      </w:r>
      <w:r w:rsidRPr="00856F74">
        <w:rPr>
          <w:sz w:val="22"/>
          <w:szCs w:val="22"/>
          <w:lang w:val="fr-FR"/>
        </w:rPr>
        <w:t xml:space="preserve"> </w:t>
      </w:r>
      <w:r>
        <w:rPr>
          <w:sz w:val="22"/>
          <w:szCs w:val="22"/>
          <w:lang w:val="fr-FR"/>
        </w:rPr>
        <w:t xml:space="preserve">poursuit son travail de simplification des procédés du service des Contributions, le développement d’un plan de récupération de catastrophe, et elle active la Phase II de notre système de comptabilité : Traverse – Comptes Clients, Comptes Fournisseurs, Grand Livre. </w:t>
      </w:r>
    </w:p>
    <w:p w14:paraId="27687084" w14:textId="77777777" w:rsidR="001353B9" w:rsidRPr="00856F74" w:rsidRDefault="001353B9" w:rsidP="001353B9">
      <w:pPr>
        <w:spacing w:after="120"/>
        <w:rPr>
          <w:sz w:val="22"/>
          <w:szCs w:val="22"/>
          <w:lang w:val="fr-FR"/>
        </w:rPr>
      </w:pPr>
      <w:r>
        <w:rPr>
          <w:bCs/>
          <w:i/>
          <w:sz w:val="22"/>
          <w:szCs w:val="22"/>
          <w:lang w:val="fr-FR"/>
        </w:rPr>
        <w:t>Services administratifs</w:t>
      </w:r>
      <w:r w:rsidRPr="00856F74">
        <w:rPr>
          <w:bCs/>
          <w:i/>
          <w:sz w:val="22"/>
          <w:szCs w:val="22"/>
          <w:lang w:val="fr-FR"/>
        </w:rPr>
        <w:t xml:space="preserve"> </w:t>
      </w:r>
      <w:r w:rsidRPr="00856F74">
        <w:rPr>
          <w:sz w:val="22"/>
          <w:szCs w:val="22"/>
          <w:lang w:val="fr-FR"/>
        </w:rPr>
        <w:t xml:space="preserve">– </w:t>
      </w:r>
      <w:r>
        <w:rPr>
          <w:sz w:val="22"/>
          <w:szCs w:val="22"/>
          <w:lang w:val="fr-FR"/>
        </w:rPr>
        <w:t>Le remaniement des responsabilités des adjointes se poursuit, de même que la formation polyvalente et autres occasions de formation pour le personnel administratif. Le service des Dossiers commencera à ajouter les noms des nouveaux présidents de régions et de districts à a base de données. Vingt-quatre visites de grands groupes ont eu lieu en 2016 et deux autres sont prévues d’ici la fin de l’année.</w:t>
      </w:r>
    </w:p>
    <w:p w14:paraId="6CB14726" w14:textId="77777777" w:rsidR="001353B9" w:rsidRPr="00856F74" w:rsidRDefault="001353B9" w:rsidP="001353B9">
      <w:pPr>
        <w:spacing w:after="120"/>
        <w:rPr>
          <w:sz w:val="22"/>
          <w:szCs w:val="22"/>
          <w:lang w:val="fr-FR"/>
        </w:rPr>
      </w:pPr>
      <w:r w:rsidRPr="00856F74">
        <w:rPr>
          <w:bCs/>
          <w:i/>
          <w:sz w:val="22"/>
          <w:szCs w:val="22"/>
          <w:lang w:val="fr-FR"/>
        </w:rPr>
        <w:t xml:space="preserve">Archives </w:t>
      </w:r>
      <w:r w:rsidRPr="00856F74">
        <w:rPr>
          <w:sz w:val="22"/>
          <w:szCs w:val="22"/>
          <w:lang w:val="fr-FR"/>
        </w:rPr>
        <w:t>–</w:t>
      </w:r>
      <w:r w:rsidRPr="00856F74">
        <w:rPr>
          <w:bCs/>
          <w:i/>
          <w:sz w:val="22"/>
          <w:szCs w:val="22"/>
          <w:lang w:val="fr-FR"/>
        </w:rPr>
        <w:t xml:space="preserve"> </w:t>
      </w:r>
      <w:r>
        <w:rPr>
          <w:bCs/>
          <w:sz w:val="22"/>
          <w:szCs w:val="22"/>
          <w:lang w:val="fr-FR"/>
        </w:rPr>
        <w:t xml:space="preserve">Un grand nombre de dossiers ont été révisés et éliminés en conformité aux recommandations de nos consultants en gestion des dossiers. </w:t>
      </w:r>
    </w:p>
    <w:p w14:paraId="68037CC8" w14:textId="77777777" w:rsidR="001353B9" w:rsidRPr="00856F74" w:rsidRDefault="001353B9" w:rsidP="001353B9">
      <w:pPr>
        <w:spacing w:after="120"/>
        <w:rPr>
          <w:bCs/>
          <w:sz w:val="22"/>
          <w:szCs w:val="22"/>
          <w:lang w:val="fr-FR"/>
        </w:rPr>
      </w:pPr>
      <w:r w:rsidRPr="00856F74">
        <w:rPr>
          <w:bCs/>
          <w:i/>
          <w:sz w:val="22"/>
          <w:szCs w:val="22"/>
          <w:lang w:val="fr-FR"/>
        </w:rPr>
        <w:t>Re</w:t>
      </w:r>
      <w:r>
        <w:rPr>
          <w:bCs/>
          <w:i/>
          <w:sz w:val="22"/>
          <w:szCs w:val="22"/>
          <w:lang w:val="fr-FR"/>
        </w:rPr>
        <w:t>s</w:t>
      </w:r>
      <w:r w:rsidRPr="00856F74">
        <w:rPr>
          <w:bCs/>
          <w:i/>
          <w:sz w:val="22"/>
          <w:szCs w:val="22"/>
          <w:lang w:val="fr-FR"/>
        </w:rPr>
        <w:t>sources</w:t>
      </w:r>
      <w:r>
        <w:rPr>
          <w:bCs/>
          <w:i/>
          <w:sz w:val="22"/>
          <w:szCs w:val="22"/>
          <w:lang w:val="fr-FR"/>
        </w:rPr>
        <w:t xml:space="preserve"> humaines </w:t>
      </w:r>
      <w:r w:rsidRPr="00856F74">
        <w:rPr>
          <w:bCs/>
          <w:i/>
          <w:sz w:val="22"/>
          <w:szCs w:val="22"/>
          <w:lang w:val="fr-FR"/>
        </w:rPr>
        <w:t xml:space="preserve"> </w:t>
      </w:r>
      <w:r w:rsidRPr="00856F74">
        <w:rPr>
          <w:sz w:val="22"/>
          <w:szCs w:val="22"/>
          <w:lang w:val="fr-FR"/>
        </w:rPr>
        <w:t xml:space="preserve">– </w:t>
      </w:r>
      <w:r>
        <w:rPr>
          <w:sz w:val="22"/>
          <w:szCs w:val="22"/>
          <w:lang w:val="fr-FR"/>
        </w:rPr>
        <w:t xml:space="preserve"> Nous entreprenons notre deuxième année avec Oxford, notre assureur actuel en matière de santé, et l’augmentation des primes n’a été que de 6% sur l’an dernier. Nous avons changé de fournisseur pour nos assurances dentaires et choisi Guardian, qui n’augmentera ces primes de que 8%. Le projet de politique régissant le Télétravail/Travail à domicile a été approuvé par le comité de gestion.</w:t>
      </w:r>
      <w:r w:rsidRPr="00856F74">
        <w:rPr>
          <w:bCs/>
          <w:sz w:val="22"/>
          <w:szCs w:val="22"/>
          <w:lang w:val="fr-FR"/>
        </w:rPr>
        <w:t xml:space="preserve"> </w:t>
      </w:r>
    </w:p>
    <w:p w14:paraId="68D6E7C9" w14:textId="77777777" w:rsidR="001353B9" w:rsidRPr="00856F74" w:rsidRDefault="001353B9" w:rsidP="001353B9">
      <w:pPr>
        <w:spacing w:after="120"/>
        <w:rPr>
          <w:sz w:val="22"/>
          <w:szCs w:val="22"/>
          <w:lang w:val="fr-FR"/>
        </w:rPr>
      </w:pPr>
      <w:r>
        <w:rPr>
          <w:sz w:val="22"/>
          <w:szCs w:val="22"/>
          <w:u w:val="single"/>
          <w:lang w:val="fr-FR"/>
        </w:rPr>
        <w:t>Déplacements en octobre et novembre :</w:t>
      </w:r>
    </w:p>
    <w:p w14:paraId="1786EFC6" w14:textId="77777777" w:rsidR="001353B9" w:rsidRPr="00856F74" w:rsidRDefault="001353B9" w:rsidP="001353B9">
      <w:pPr>
        <w:spacing w:after="120"/>
        <w:rPr>
          <w:sz w:val="22"/>
          <w:szCs w:val="22"/>
          <w:lang w:val="fr-FR"/>
        </w:rPr>
      </w:pPr>
      <w:r w:rsidRPr="00856F74">
        <w:rPr>
          <w:i/>
          <w:sz w:val="22"/>
          <w:szCs w:val="22"/>
          <w:lang w:val="fr-FR"/>
        </w:rPr>
        <w:t>21-27</w:t>
      </w:r>
      <w:r>
        <w:rPr>
          <w:i/>
          <w:sz w:val="22"/>
          <w:szCs w:val="22"/>
          <w:lang w:val="fr-FR"/>
        </w:rPr>
        <w:t xml:space="preserve"> o</w:t>
      </w:r>
      <w:r w:rsidRPr="00856F74">
        <w:rPr>
          <w:i/>
          <w:sz w:val="22"/>
          <w:szCs w:val="22"/>
          <w:lang w:val="fr-FR"/>
        </w:rPr>
        <w:t>ctob</w:t>
      </w:r>
      <w:r>
        <w:rPr>
          <w:i/>
          <w:sz w:val="22"/>
          <w:szCs w:val="22"/>
          <w:lang w:val="fr-FR"/>
        </w:rPr>
        <w:t>r</w:t>
      </w:r>
      <w:r w:rsidRPr="00856F74">
        <w:rPr>
          <w:i/>
          <w:sz w:val="22"/>
          <w:szCs w:val="22"/>
          <w:lang w:val="fr-FR"/>
        </w:rPr>
        <w:t>e 2016</w:t>
      </w:r>
      <w:r>
        <w:rPr>
          <w:i/>
          <w:sz w:val="22"/>
          <w:szCs w:val="22"/>
          <w:lang w:val="fr-FR"/>
        </w:rPr>
        <w:t xml:space="preserve"> : </w:t>
      </w:r>
      <w:r w:rsidRPr="00856F74">
        <w:rPr>
          <w:sz w:val="22"/>
          <w:szCs w:val="22"/>
          <w:lang w:val="fr-FR"/>
        </w:rPr>
        <w:t>24</w:t>
      </w:r>
      <w:r>
        <w:rPr>
          <w:sz w:val="22"/>
          <w:szCs w:val="22"/>
          <w:lang w:val="fr-FR"/>
        </w:rPr>
        <w:t>e</w:t>
      </w:r>
      <w:r w:rsidRPr="00856F74">
        <w:rPr>
          <w:sz w:val="22"/>
          <w:szCs w:val="22"/>
          <w:lang w:val="fr-FR"/>
        </w:rPr>
        <w:t xml:space="preserve"> </w:t>
      </w:r>
      <w:r>
        <w:rPr>
          <w:sz w:val="22"/>
          <w:szCs w:val="22"/>
          <w:lang w:val="fr-FR"/>
        </w:rPr>
        <w:t>Réunion mondiale du service,</w:t>
      </w:r>
      <w:r w:rsidRPr="00856F74">
        <w:rPr>
          <w:sz w:val="22"/>
          <w:szCs w:val="22"/>
          <w:lang w:val="fr-FR"/>
        </w:rPr>
        <w:t xml:space="preserve"> Rye Brook, NY.</w:t>
      </w:r>
    </w:p>
    <w:p w14:paraId="2EA94C08" w14:textId="77777777" w:rsidR="001353B9" w:rsidRPr="00856F74" w:rsidRDefault="001353B9" w:rsidP="001353B9">
      <w:pPr>
        <w:spacing w:after="120"/>
        <w:ind w:left="720" w:hanging="720"/>
        <w:rPr>
          <w:sz w:val="22"/>
          <w:szCs w:val="22"/>
          <w:lang w:val="fr-FR"/>
        </w:rPr>
      </w:pPr>
      <w:r w:rsidRPr="00856F74">
        <w:rPr>
          <w:i/>
          <w:sz w:val="22"/>
          <w:szCs w:val="22"/>
          <w:lang w:val="fr-FR"/>
        </w:rPr>
        <w:t>5-6</w:t>
      </w:r>
      <w:r>
        <w:rPr>
          <w:i/>
          <w:sz w:val="22"/>
          <w:szCs w:val="22"/>
          <w:lang w:val="fr-FR"/>
        </w:rPr>
        <w:t xml:space="preserve"> n</w:t>
      </w:r>
      <w:r w:rsidRPr="00856F74">
        <w:rPr>
          <w:i/>
          <w:sz w:val="22"/>
          <w:szCs w:val="22"/>
          <w:lang w:val="fr-FR"/>
        </w:rPr>
        <w:t>ovembre 2016</w:t>
      </w:r>
      <w:r>
        <w:rPr>
          <w:i/>
          <w:sz w:val="22"/>
          <w:szCs w:val="22"/>
          <w:lang w:val="fr-FR"/>
        </w:rPr>
        <w:t> :</w:t>
      </w:r>
      <w:r w:rsidRPr="00856F74">
        <w:rPr>
          <w:sz w:val="22"/>
          <w:szCs w:val="22"/>
          <w:lang w:val="fr-FR"/>
        </w:rPr>
        <w:t xml:space="preserve"> </w:t>
      </w:r>
      <w:r>
        <w:rPr>
          <w:sz w:val="22"/>
          <w:szCs w:val="22"/>
          <w:lang w:val="fr-FR"/>
        </w:rPr>
        <w:t>le D</w:t>
      </w:r>
      <w:r w:rsidRPr="00856F74">
        <w:rPr>
          <w:sz w:val="22"/>
          <w:szCs w:val="22"/>
          <w:lang w:val="fr-FR"/>
        </w:rPr>
        <w:t>G/</w:t>
      </w:r>
      <w:r>
        <w:rPr>
          <w:sz w:val="22"/>
          <w:szCs w:val="22"/>
          <w:lang w:val="fr-FR"/>
        </w:rPr>
        <w:t>BSG</w:t>
      </w:r>
      <w:r w:rsidRPr="00856F74">
        <w:rPr>
          <w:sz w:val="22"/>
          <w:szCs w:val="22"/>
          <w:lang w:val="fr-FR"/>
        </w:rPr>
        <w:t xml:space="preserve"> </w:t>
      </w:r>
      <w:r>
        <w:rPr>
          <w:sz w:val="22"/>
          <w:szCs w:val="22"/>
          <w:lang w:val="fr-FR"/>
        </w:rPr>
        <w:t>et le membre du personnel du</w:t>
      </w:r>
      <w:r w:rsidRPr="00856F74">
        <w:rPr>
          <w:sz w:val="22"/>
          <w:szCs w:val="22"/>
          <w:lang w:val="fr-FR"/>
        </w:rPr>
        <w:t xml:space="preserve"> GV </w:t>
      </w:r>
      <w:r>
        <w:rPr>
          <w:sz w:val="22"/>
          <w:szCs w:val="22"/>
          <w:lang w:val="fr-FR"/>
        </w:rPr>
        <w:t xml:space="preserve">ont assisté au Séminaire des Intergroupes/Bureaux centraux, à </w:t>
      </w:r>
      <w:r w:rsidRPr="00856F74">
        <w:rPr>
          <w:sz w:val="22"/>
          <w:szCs w:val="22"/>
          <w:lang w:val="fr-FR"/>
        </w:rPr>
        <w:t>Kansas City, MO.</w:t>
      </w:r>
    </w:p>
    <w:p w14:paraId="2FD6A53A" w14:textId="77777777" w:rsidR="001353B9" w:rsidRPr="00856F74" w:rsidRDefault="001353B9" w:rsidP="001353B9">
      <w:pPr>
        <w:spacing w:after="120"/>
        <w:rPr>
          <w:sz w:val="22"/>
          <w:szCs w:val="22"/>
          <w:lang w:val="fr-FR"/>
        </w:rPr>
      </w:pPr>
      <w:r w:rsidRPr="00856F74">
        <w:rPr>
          <w:i/>
          <w:sz w:val="22"/>
          <w:szCs w:val="22"/>
          <w:lang w:val="fr-FR"/>
        </w:rPr>
        <w:t>17-19</w:t>
      </w:r>
      <w:r>
        <w:rPr>
          <w:i/>
          <w:sz w:val="22"/>
          <w:szCs w:val="22"/>
          <w:lang w:val="fr-FR"/>
        </w:rPr>
        <w:t xml:space="preserve"> n</w:t>
      </w:r>
      <w:r w:rsidRPr="00856F74">
        <w:rPr>
          <w:i/>
          <w:sz w:val="22"/>
          <w:szCs w:val="22"/>
          <w:lang w:val="fr-FR"/>
        </w:rPr>
        <w:t>ovembre 2016</w:t>
      </w:r>
      <w:r>
        <w:rPr>
          <w:i/>
          <w:sz w:val="22"/>
          <w:szCs w:val="22"/>
          <w:lang w:val="fr-FR"/>
        </w:rPr>
        <w:t> : médiation</w:t>
      </w:r>
      <w:r w:rsidRPr="00856F74">
        <w:rPr>
          <w:sz w:val="22"/>
          <w:szCs w:val="22"/>
          <w:lang w:val="fr-FR"/>
        </w:rPr>
        <w:t xml:space="preserve"> A.A.W.S. vs. Knight, Toronto, ON</w:t>
      </w:r>
    </w:p>
    <w:p w14:paraId="588D5F23" w14:textId="77777777" w:rsidR="001353B9" w:rsidRPr="00856F74" w:rsidRDefault="001353B9" w:rsidP="001353B9">
      <w:pPr>
        <w:spacing w:after="120"/>
        <w:jc w:val="center"/>
        <w:rPr>
          <w:b/>
          <w:sz w:val="22"/>
          <w:szCs w:val="22"/>
          <w:lang w:val="fr-FR"/>
        </w:rPr>
      </w:pPr>
      <w:r>
        <w:rPr>
          <w:b/>
          <w:sz w:val="22"/>
          <w:szCs w:val="22"/>
          <w:lang w:val="fr-FR"/>
        </w:rPr>
        <w:t>RAPPORT DU PERSONNEL</w:t>
      </w:r>
    </w:p>
    <w:p w14:paraId="42879CFA" w14:textId="37450B67" w:rsidR="001353B9" w:rsidRPr="00856F74" w:rsidRDefault="001353B9" w:rsidP="001353B9">
      <w:pPr>
        <w:spacing w:after="120"/>
        <w:rPr>
          <w:rFonts w:cs="Arial"/>
          <w:bCs/>
          <w:sz w:val="22"/>
          <w:szCs w:val="22"/>
          <w:lang w:val="fr-FR"/>
        </w:rPr>
      </w:pPr>
      <w:r>
        <w:rPr>
          <w:rFonts w:cs="Arial"/>
          <w:sz w:val="22"/>
          <w:szCs w:val="22"/>
          <w:lang w:val="fr-FR"/>
        </w:rPr>
        <w:t xml:space="preserve">Les services de communications ont tenu une rencontre pour finaliser la mise en œuvre de l’option de refus pour la livraison des pochettes et manuels de service. De nouvelles avenues de communication ont été établies entre les AA du Texas et le </w:t>
      </w:r>
      <w:r w:rsidRPr="009342F0">
        <w:rPr>
          <w:rFonts w:cs="Arial"/>
          <w:bCs/>
          <w:i/>
          <w:sz w:val="22"/>
          <w:szCs w:val="22"/>
          <w:lang w:val="fr-FR"/>
        </w:rPr>
        <w:t>Texas Department of Criminal Justice</w:t>
      </w:r>
      <w:r w:rsidRPr="00856F74">
        <w:rPr>
          <w:rFonts w:cs="Arial"/>
          <w:bCs/>
          <w:sz w:val="22"/>
          <w:szCs w:val="22"/>
          <w:lang w:val="fr-FR"/>
        </w:rPr>
        <w:t xml:space="preserve"> </w:t>
      </w:r>
      <w:r>
        <w:rPr>
          <w:rFonts w:cs="Arial"/>
          <w:bCs/>
          <w:sz w:val="22"/>
          <w:szCs w:val="22"/>
          <w:lang w:val="fr-FR"/>
        </w:rPr>
        <w:t>pendant une réunion spéciale avec le président du correctionnel de la région à laquelle assistait aussi le président actuel du Comité du Conseil pour le Correctionnel. Les annuaires confidentiels du</w:t>
      </w:r>
      <w:r w:rsidRPr="00856F74">
        <w:rPr>
          <w:rFonts w:cs="Arial"/>
          <w:bCs/>
          <w:sz w:val="22"/>
          <w:szCs w:val="22"/>
          <w:lang w:val="fr-FR"/>
        </w:rPr>
        <w:t xml:space="preserve"> </w:t>
      </w:r>
      <w:r w:rsidRPr="00856F74">
        <w:rPr>
          <w:rFonts w:cs="Arial"/>
          <w:bCs/>
          <w:i/>
          <w:sz w:val="22"/>
          <w:szCs w:val="22"/>
          <w:lang w:val="fr-FR"/>
        </w:rPr>
        <w:t>Loners Internationalists Meeting</w:t>
      </w:r>
      <w:r w:rsidRPr="00856F74">
        <w:rPr>
          <w:rFonts w:cs="Arial"/>
          <w:bCs/>
          <w:sz w:val="22"/>
          <w:szCs w:val="22"/>
          <w:lang w:val="fr-FR"/>
        </w:rPr>
        <w:t xml:space="preserve"> (LIM) </w:t>
      </w:r>
      <w:r>
        <w:rPr>
          <w:rFonts w:cs="Arial"/>
          <w:bCs/>
          <w:sz w:val="22"/>
          <w:szCs w:val="22"/>
          <w:lang w:val="fr-FR"/>
        </w:rPr>
        <w:t>ont été mis à jour et postés aux membres LIM. En plus de la version imprimée du Rapp</w:t>
      </w:r>
      <w:r w:rsidR="00A53D0C">
        <w:rPr>
          <w:rFonts w:cs="Arial"/>
          <w:bCs/>
          <w:sz w:val="22"/>
          <w:szCs w:val="22"/>
          <w:lang w:val="fr-FR"/>
        </w:rPr>
        <w:t>or</w:t>
      </w:r>
      <w:r>
        <w:rPr>
          <w:rFonts w:cs="Arial"/>
          <w:bCs/>
          <w:sz w:val="22"/>
          <w:szCs w:val="22"/>
          <w:lang w:val="fr-FR"/>
        </w:rPr>
        <w:t xml:space="preserve">t final de la Réunion mondiale du service, on préparera une version numérique protégeant l’anonymat pour affichage sur le tableau de bord de la RMS. L’édition des fêtes du </w:t>
      </w:r>
      <w:r w:rsidRPr="00856F74">
        <w:rPr>
          <w:rFonts w:cs="Arial"/>
          <w:i/>
          <w:sz w:val="22"/>
          <w:szCs w:val="22"/>
          <w:lang w:val="fr-FR"/>
        </w:rPr>
        <w:t>Box 4-5-9</w:t>
      </w:r>
      <w:r w:rsidRPr="00856F74">
        <w:rPr>
          <w:rFonts w:cs="Arial"/>
          <w:sz w:val="22"/>
          <w:szCs w:val="22"/>
          <w:lang w:val="fr-FR"/>
        </w:rPr>
        <w:t xml:space="preserve"> </w:t>
      </w:r>
      <w:r>
        <w:rPr>
          <w:rFonts w:cs="Arial"/>
          <w:sz w:val="22"/>
          <w:szCs w:val="22"/>
          <w:lang w:val="fr-FR"/>
        </w:rPr>
        <w:t>a été distribuée et est accessible en ligne sur le site Web du BSG. La date limite pour la soumission des CV des candidats aux postes d’administrateurs territoriaux de l’Est central et du Sud-est et pour l’administrateur universel/É.U. est le 1</w:t>
      </w:r>
      <w:r w:rsidRPr="009342F0">
        <w:rPr>
          <w:rFonts w:cs="Arial"/>
          <w:sz w:val="22"/>
          <w:szCs w:val="22"/>
          <w:vertAlign w:val="superscript"/>
          <w:lang w:val="fr-FR"/>
        </w:rPr>
        <w:t>er</w:t>
      </w:r>
      <w:r>
        <w:rPr>
          <w:rFonts w:cs="Arial"/>
          <w:sz w:val="22"/>
          <w:szCs w:val="22"/>
          <w:lang w:val="fr-FR"/>
        </w:rPr>
        <w:t xml:space="preserve"> janvier 2017. L’agence pour la distribution et le suivi du MIP vidéo « J’ai de l’espoir » en anglais et en </w:t>
      </w:r>
      <w:r>
        <w:rPr>
          <w:rFonts w:cs="Arial"/>
          <w:sz w:val="22"/>
          <w:szCs w:val="22"/>
          <w:lang w:val="fr-FR"/>
        </w:rPr>
        <w:lastRenderedPageBreak/>
        <w:t>français et pour la redistribution de « Tengo Esperanza » a été choisie et elle doit débuter ses activités en janvier 2017. Un certain nombre de documents de service ont été envoyés au service de l’Édition pour en étudier l’exactitude et l’utilisation actuelle.</w:t>
      </w:r>
    </w:p>
    <w:p w14:paraId="679E05CC" w14:textId="77777777" w:rsidR="001353B9" w:rsidRPr="00856F74" w:rsidRDefault="001353B9" w:rsidP="001353B9">
      <w:pPr>
        <w:spacing w:after="120"/>
        <w:jc w:val="center"/>
        <w:rPr>
          <w:b/>
          <w:sz w:val="22"/>
          <w:szCs w:val="22"/>
          <w:lang w:val="fr-FR"/>
        </w:rPr>
      </w:pPr>
      <w:r>
        <w:rPr>
          <w:b/>
          <w:sz w:val="22"/>
          <w:szCs w:val="22"/>
          <w:lang w:val="fr-FR"/>
        </w:rPr>
        <w:t xml:space="preserve">TECHNOLOGIE </w:t>
      </w:r>
      <w:r w:rsidRPr="00856F74">
        <w:rPr>
          <w:b/>
          <w:sz w:val="22"/>
          <w:szCs w:val="22"/>
          <w:lang w:val="fr-FR"/>
        </w:rPr>
        <w:t>/ COMMUNICATION</w:t>
      </w:r>
      <w:r>
        <w:rPr>
          <w:b/>
          <w:sz w:val="22"/>
          <w:szCs w:val="22"/>
          <w:lang w:val="fr-FR"/>
        </w:rPr>
        <w:t>S</w:t>
      </w:r>
      <w:r w:rsidRPr="00856F74">
        <w:rPr>
          <w:b/>
          <w:sz w:val="22"/>
          <w:szCs w:val="22"/>
          <w:lang w:val="fr-FR"/>
        </w:rPr>
        <w:t xml:space="preserve"> / SERVICES</w:t>
      </w:r>
    </w:p>
    <w:p w14:paraId="3451614A" w14:textId="77777777" w:rsidR="001353B9" w:rsidRPr="00856F74" w:rsidRDefault="001353B9" w:rsidP="001353B9">
      <w:pPr>
        <w:spacing w:after="120"/>
        <w:rPr>
          <w:sz w:val="22"/>
          <w:szCs w:val="22"/>
          <w:lang w:val="fr-FR"/>
        </w:rPr>
      </w:pPr>
      <w:r>
        <w:rPr>
          <w:sz w:val="22"/>
          <w:szCs w:val="22"/>
          <w:lang w:val="fr-FR"/>
        </w:rPr>
        <w:t>Le comité a étudié un rapport sur les analyses des statistiques du site Web des AA du BSG pour la période allant d’août 2016 à octobre 2016 ; a discuté d’une suggestion d’ajouter l’option d’être inscrit comme réunion ou comme groupe dans les</w:t>
      </w:r>
      <w:r w:rsidRPr="00856F74">
        <w:rPr>
          <w:sz w:val="22"/>
          <w:szCs w:val="22"/>
          <w:lang w:val="fr-FR"/>
        </w:rPr>
        <w:t xml:space="preserve"> </w:t>
      </w:r>
      <w:r>
        <w:rPr>
          <w:sz w:val="22"/>
          <w:szCs w:val="22"/>
          <w:lang w:val="fr-FR"/>
        </w:rPr>
        <w:t>dossiers du BSG pour les entités des AA ; a reçu un rapport de l’Atelier national de la technologie AA (18-20 novembre 2016 à Winston-Salem, Caroline du Nord) de Rick Walker, membre du personnel.</w:t>
      </w:r>
    </w:p>
    <w:p w14:paraId="310E293A" w14:textId="77777777" w:rsidR="001353B9" w:rsidRPr="00856F74" w:rsidRDefault="001353B9" w:rsidP="001353B9">
      <w:pPr>
        <w:spacing w:after="120"/>
        <w:rPr>
          <w:sz w:val="22"/>
          <w:szCs w:val="22"/>
          <w:lang w:val="fr-FR"/>
        </w:rPr>
      </w:pPr>
      <w:r>
        <w:rPr>
          <w:sz w:val="22"/>
          <w:szCs w:val="22"/>
          <w:lang w:val="fr-FR"/>
        </w:rPr>
        <w:t>Le comité a aussi discuté de la période d’attente avant d’inscrire de nouveaux groupes à la liste du BSG, et s’il fallait ou non préparer des informations pour justifier la période d’attente. Le comité a noté que la Résolution de 1991 qui a imposé une période d’attente a dit l’avoir fait pour « permettre à la structure locale des AA de participer au processus ». Cependant, l’interprétation de la période d’attente a varié d’une région à l’autre. Le comité a demandé plus d’informations historiques et a décidé de poursuivre sa discussion lors d’une prochaine réunion.</w:t>
      </w:r>
    </w:p>
    <w:p w14:paraId="07506BA4" w14:textId="77777777" w:rsidR="001353B9" w:rsidRPr="00856F74" w:rsidRDefault="001353B9" w:rsidP="001353B9">
      <w:pPr>
        <w:spacing w:after="120"/>
        <w:jc w:val="center"/>
        <w:rPr>
          <w:b/>
          <w:sz w:val="22"/>
          <w:szCs w:val="22"/>
          <w:lang w:val="fr-FR"/>
        </w:rPr>
      </w:pPr>
      <w:r>
        <w:rPr>
          <w:b/>
          <w:sz w:val="22"/>
          <w:szCs w:val="22"/>
          <w:lang w:val="fr-FR"/>
        </w:rPr>
        <w:t>ÉDITION</w:t>
      </w:r>
    </w:p>
    <w:p w14:paraId="333E36B0" w14:textId="77777777" w:rsidR="001353B9" w:rsidRPr="00CD6677" w:rsidRDefault="001353B9" w:rsidP="001353B9">
      <w:pPr>
        <w:spacing w:after="120"/>
        <w:rPr>
          <w:rFonts w:cs="Arial"/>
          <w:sz w:val="22"/>
          <w:szCs w:val="22"/>
          <w:lang w:val="fr-FR"/>
        </w:rPr>
      </w:pPr>
      <w:r>
        <w:rPr>
          <w:i/>
          <w:sz w:val="22"/>
          <w:szCs w:val="22"/>
          <w:lang w:val="fr-FR"/>
        </w:rPr>
        <w:t xml:space="preserve">Ventes brutes : </w:t>
      </w:r>
      <w:r>
        <w:rPr>
          <w:sz w:val="22"/>
          <w:szCs w:val="22"/>
          <w:lang w:val="fr-FR"/>
        </w:rPr>
        <w:t>Les ventes brutes d’octobre sont inférieures aux précisions, atteignant 1 121 498 $, soit 326 726 $, ou 22,56% de moins que les prévisions de 1 448 215 $.</w:t>
      </w:r>
      <w:r w:rsidRPr="00856F74">
        <w:rPr>
          <w:rFonts w:cs="Arial"/>
          <w:sz w:val="22"/>
          <w:szCs w:val="22"/>
          <w:lang w:val="fr-FR"/>
        </w:rPr>
        <w:t xml:space="preserve"> </w:t>
      </w:r>
      <w:r>
        <w:rPr>
          <w:rFonts w:cs="Arial"/>
          <w:sz w:val="22"/>
          <w:szCs w:val="22"/>
          <w:lang w:val="fr-FR"/>
        </w:rPr>
        <w:t xml:space="preserve">À la fin d’octobre 2016, les ventes brutes sont inférieures aux prévisions : 11 313 770 $ de ventes réelles, à rapprocher d’un estimé de 11 581 628 $, ce qui est de 267 858 $, ou 1,41% moindre. L’article </w:t>
      </w:r>
      <w:r>
        <w:rPr>
          <w:rFonts w:cs="Arial"/>
          <w:i/>
          <w:sz w:val="22"/>
          <w:szCs w:val="22"/>
          <w:lang w:val="fr-FR"/>
        </w:rPr>
        <w:t xml:space="preserve">Rayon histoire des AA </w:t>
      </w:r>
      <w:r>
        <w:rPr>
          <w:rFonts w:cs="Arial"/>
          <w:sz w:val="22"/>
          <w:szCs w:val="22"/>
          <w:lang w:val="fr-FR"/>
        </w:rPr>
        <w:t>se vend bien avec un total de 730 assortiments (678 en anglais, 20 en français et 32 en espagnol) vendus à ce jour.</w:t>
      </w:r>
    </w:p>
    <w:p w14:paraId="74C4DC0B" w14:textId="77777777" w:rsidR="001353B9" w:rsidRPr="00856F74" w:rsidRDefault="001353B9" w:rsidP="001353B9">
      <w:pPr>
        <w:spacing w:after="120"/>
        <w:rPr>
          <w:rFonts w:cs="Arial"/>
          <w:sz w:val="22"/>
          <w:szCs w:val="22"/>
          <w:lang w:val="fr-FR"/>
        </w:rPr>
      </w:pPr>
      <w:r>
        <w:rPr>
          <w:i/>
          <w:sz w:val="22"/>
          <w:szCs w:val="22"/>
          <w:lang w:val="fr-FR"/>
        </w:rPr>
        <w:t xml:space="preserve">Ventes sur le </w:t>
      </w:r>
      <w:r w:rsidRPr="00856F74">
        <w:rPr>
          <w:i/>
          <w:sz w:val="22"/>
          <w:szCs w:val="22"/>
          <w:lang w:val="fr-FR"/>
        </w:rPr>
        <w:t>Web</w:t>
      </w:r>
      <w:r>
        <w:rPr>
          <w:i/>
          <w:sz w:val="22"/>
          <w:szCs w:val="22"/>
          <w:lang w:val="fr-FR"/>
        </w:rPr>
        <w:t> :</w:t>
      </w:r>
      <w:r w:rsidRPr="00856F74">
        <w:rPr>
          <w:sz w:val="22"/>
          <w:szCs w:val="22"/>
          <w:lang w:val="fr-FR"/>
        </w:rPr>
        <w:t xml:space="preserve"> </w:t>
      </w:r>
      <w:r>
        <w:rPr>
          <w:rFonts w:cs="Arial"/>
          <w:sz w:val="22"/>
          <w:szCs w:val="22"/>
          <w:lang w:val="fr-FR"/>
        </w:rPr>
        <w:t>Les ventes totales sur le Web (Magasin en ligne d’AAWS) pour le mois d’octobre ont atteint 726 608 $, ce qui représente environ 66,33% des ventes totales de la société. Les ventes du magasin B2B en ligne</w:t>
      </w:r>
      <w:r w:rsidRPr="00856F74">
        <w:rPr>
          <w:rFonts w:cs="Arial"/>
          <w:sz w:val="22"/>
          <w:szCs w:val="22"/>
          <w:lang w:val="fr-FR"/>
        </w:rPr>
        <w:t xml:space="preserve"> </w:t>
      </w:r>
      <w:r>
        <w:rPr>
          <w:rFonts w:cs="Arial"/>
          <w:sz w:val="22"/>
          <w:szCs w:val="22"/>
          <w:lang w:val="fr-FR"/>
        </w:rPr>
        <w:t>(principalement aux Intergroupes/Bureaux centraux et autres commandes en vrac) ont atteint 532 080 $ en octobre et les ventes B2C (clients individuels), 194 528 $.</w:t>
      </w:r>
    </w:p>
    <w:p w14:paraId="3F3A9798" w14:textId="77777777" w:rsidR="001353B9" w:rsidRPr="00856F74" w:rsidRDefault="001353B9" w:rsidP="001353B9">
      <w:pPr>
        <w:spacing w:after="120"/>
        <w:rPr>
          <w:rFonts w:cs="Arial"/>
          <w:sz w:val="22"/>
          <w:szCs w:val="22"/>
          <w:lang w:val="fr-FR"/>
        </w:rPr>
      </w:pPr>
      <w:r>
        <w:rPr>
          <w:i/>
          <w:sz w:val="22"/>
          <w:szCs w:val="22"/>
          <w:lang w:val="fr-FR"/>
        </w:rPr>
        <w:t>Livres numériques :</w:t>
      </w:r>
      <w:r w:rsidRPr="00856F74">
        <w:rPr>
          <w:i/>
          <w:sz w:val="22"/>
          <w:szCs w:val="22"/>
          <w:lang w:val="fr-FR"/>
        </w:rPr>
        <w:t xml:space="preserve"> </w:t>
      </w:r>
      <w:r>
        <w:rPr>
          <w:rFonts w:cs="Arial"/>
          <w:sz w:val="22"/>
          <w:szCs w:val="22"/>
          <w:lang w:val="fr-FR"/>
        </w:rPr>
        <w:t>Les ventes brutes totales de livres pour la période de janvier à septembre 2016 ont atteint 168 007 $, soit 42 937 unités.</w:t>
      </w:r>
    </w:p>
    <w:p w14:paraId="45D676F6" w14:textId="77777777" w:rsidR="001353B9" w:rsidRPr="00856F74" w:rsidRDefault="001353B9" w:rsidP="001353B9">
      <w:pPr>
        <w:spacing w:after="120"/>
        <w:rPr>
          <w:rFonts w:cs="Arial"/>
          <w:i/>
          <w:sz w:val="22"/>
          <w:szCs w:val="22"/>
          <w:lang w:val="fr-FR"/>
        </w:rPr>
      </w:pPr>
      <w:r>
        <w:rPr>
          <w:i/>
          <w:sz w:val="22"/>
          <w:szCs w:val="22"/>
          <w:lang w:val="fr-FR"/>
        </w:rPr>
        <w:t xml:space="preserve">Licences et traductions internationales : </w:t>
      </w:r>
      <w:r>
        <w:rPr>
          <w:sz w:val="22"/>
          <w:szCs w:val="22"/>
          <w:lang w:val="fr-FR"/>
        </w:rPr>
        <w:t xml:space="preserve">Les traductions/impressions suivantes du Gros Livre sont en cours de réalisation : Croatie, Islande, Israël, Kenya, Mongolie, Pologne, Slovaquie, Suède et Ukraine, entre autres. Le comité régional du Moyen Orient des Alcooliques anonymes (MERCAA ou CRMOAA) étudie des soumissions pour les traductions complètes en arabe des </w:t>
      </w:r>
      <w:r>
        <w:rPr>
          <w:i/>
          <w:sz w:val="22"/>
          <w:szCs w:val="22"/>
          <w:lang w:val="fr-FR"/>
        </w:rPr>
        <w:t xml:space="preserve">Douze Étapes et Douze Traditions </w:t>
      </w:r>
      <w:r>
        <w:rPr>
          <w:sz w:val="22"/>
          <w:szCs w:val="22"/>
          <w:lang w:val="fr-FR"/>
        </w:rPr>
        <w:t xml:space="preserve">et de </w:t>
      </w:r>
      <w:r>
        <w:rPr>
          <w:i/>
          <w:sz w:val="22"/>
          <w:szCs w:val="22"/>
          <w:lang w:val="fr-FR"/>
        </w:rPr>
        <w:t>Vivre sans alcool.</w:t>
      </w:r>
      <w:r w:rsidRPr="00856F74">
        <w:rPr>
          <w:rFonts w:cs="Arial"/>
          <w:i/>
          <w:sz w:val="22"/>
          <w:szCs w:val="22"/>
          <w:lang w:val="fr-FR"/>
        </w:rPr>
        <w:t xml:space="preserve"> </w:t>
      </w:r>
      <w:r>
        <w:rPr>
          <w:rFonts w:cs="Arial"/>
          <w:sz w:val="22"/>
          <w:szCs w:val="22"/>
          <w:lang w:val="fr-FR"/>
        </w:rPr>
        <w:t xml:space="preserve">« Les abstinents sans nom », AA d’Iran, ont reçu une licence pour traduire </w:t>
      </w:r>
      <w:r>
        <w:rPr>
          <w:rFonts w:cs="Arial"/>
          <w:i/>
          <w:sz w:val="22"/>
          <w:szCs w:val="22"/>
          <w:lang w:val="fr-FR"/>
        </w:rPr>
        <w:t xml:space="preserve">Nous en sommes venus à croire </w:t>
      </w:r>
      <w:r>
        <w:rPr>
          <w:rFonts w:cs="Arial"/>
          <w:sz w:val="22"/>
          <w:szCs w:val="22"/>
          <w:lang w:val="fr-FR"/>
        </w:rPr>
        <w:t xml:space="preserve">et </w:t>
      </w:r>
      <w:r>
        <w:rPr>
          <w:rFonts w:cs="Arial"/>
          <w:i/>
          <w:sz w:val="22"/>
          <w:szCs w:val="22"/>
          <w:lang w:val="fr-FR"/>
        </w:rPr>
        <w:t xml:space="preserve">Réflexions de Bill </w:t>
      </w:r>
      <w:r>
        <w:rPr>
          <w:rFonts w:cs="Arial"/>
          <w:sz w:val="22"/>
          <w:szCs w:val="22"/>
          <w:lang w:val="fr-FR"/>
        </w:rPr>
        <w:t xml:space="preserve">en farsi. Une traduction turque de </w:t>
      </w:r>
      <w:r>
        <w:rPr>
          <w:rFonts w:cs="Arial"/>
          <w:i/>
          <w:sz w:val="22"/>
          <w:szCs w:val="22"/>
          <w:lang w:val="fr-FR"/>
        </w:rPr>
        <w:t xml:space="preserve">Réflexions quotidiennes </w:t>
      </w:r>
      <w:r>
        <w:rPr>
          <w:rFonts w:cs="Arial"/>
          <w:sz w:val="22"/>
          <w:szCs w:val="22"/>
          <w:lang w:val="fr-FR"/>
        </w:rPr>
        <w:t>a été soumise pour révision par le CSG de Turquie.</w:t>
      </w:r>
      <w:r w:rsidRPr="00856F74">
        <w:rPr>
          <w:rFonts w:cs="Arial"/>
          <w:sz w:val="22"/>
          <w:szCs w:val="22"/>
          <w:lang w:val="fr-FR"/>
        </w:rPr>
        <w:t xml:space="preserve"> </w:t>
      </w:r>
      <w:r>
        <w:rPr>
          <w:rFonts w:cs="Arial"/>
          <w:sz w:val="22"/>
          <w:szCs w:val="22"/>
          <w:lang w:val="fr-FR"/>
        </w:rPr>
        <w:t>Les comités des publications francophones de Belgique, France et Suisse, ont demandé une licence commune, semblable à celle qui existe pour l’Europe germanophone.</w:t>
      </w:r>
    </w:p>
    <w:p w14:paraId="4F9EA5EA" w14:textId="77777777" w:rsidR="001353B9" w:rsidRPr="00856F74" w:rsidRDefault="001353B9" w:rsidP="001353B9">
      <w:pPr>
        <w:spacing w:after="120"/>
        <w:rPr>
          <w:rFonts w:cs="Arial"/>
          <w:sz w:val="22"/>
          <w:szCs w:val="22"/>
          <w:lang w:val="fr-FR"/>
        </w:rPr>
      </w:pPr>
      <w:r>
        <w:rPr>
          <w:sz w:val="22"/>
          <w:szCs w:val="22"/>
          <w:lang w:val="fr-FR"/>
        </w:rPr>
        <w:t>Le comité a demandé au service de l’Édition de ne pas donner suite à un projet local d’enregistrer les Douze Concepts (Version intégrale) en audio avant d’avoir obtenu des informations historiques. Le comité a aussi discuté des différents aspects de produire une version numérique protégeant l’anonymat du Rapport final de la Conférence</w:t>
      </w:r>
      <w:r w:rsidRPr="00856F74">
        <w:rPr>
          <w:rFonts w:cs="Arial"/>
          <w:sz w:val="22"/>
          <w:szCs w:val="22"/>
          <w:lang w:val="fr-FR"/>
        </w:rPr>
        <w:t>.</w:t>
      </w:r>
      <w:r>
        <w:rPr>
          <w:rFonts w:cs="Arial"/>
          <w:sz w:val="22"/>
          <w:szCs w:val="22"/>
          <w:lang w:val="fr-FR"/>
        </w:rPr>
        <w:t xml:space="preserve"> Le comité a conclu que cette question devrait être discutée par la Conférence.</w:t>
      </w:r>
      <w:r w:rsidRPr="00856F74">
        <w:rPr>
          <w:rFonts w:cs="Arial"/>
          <w:sz w:val="22"/>
          <w:szCs w:val="22"/>
          <w:lang w:val="fr-FR"/>
        </w:rPr>
        <w:t xml:space="preserve"> </w:t>
      </w:r>
    </w:p>
    <w:p w14:paraId="144FE717" w14:textId="77777777" w:rsidR="001353B9" w:rsidRPr="00856F74" w:rsidRDefault="001353B9" w:rsidP="001353B9">
      <w:pPr>
        <w:spacing w:after="120"/>
        <w:rPr>
          <w:rFonts w:cs="Arial"/>
          <w:sz w:val="22"/>
          <w:szCs w:val="22"/>
          <w:lang w:val="fr-FR"/>
        </w:rPr>
      </w:pPr>
      <w:r>
        <w:rPr>
          <w:rFonts w:cs="Arial"/>
          <w:sz w:val="22"/>
          <w:szCs w:val="22"/>
          <w:lang w:val="fr-FR"/>
        </w:rPr>
        <w:t>Le comité a discuté du projet de livre audio et il a demandé au service de l’Édition de lui revenir avec une recommandation qui inclurait les détails de l’approche stratégique (c.-à-d. le marketing, la disponibilité, les traductions) incluant le coût des traductions françaises et espagnole.</w:t>
      </w:r>
    </w:p>
    <w:p w14:paraId="5861121B" w14:textId="77777777" w:rsidR="001353B9" w:rsidRPr="00856F74" w:rsidRDefault="001353B9" w:rsidP="001353B9">
      <w:pPr>
        <w:spacing w:after="120"/>
        <w:jc w:val="center"/>
        <w:rPr>
          <w:b/>
          <w:sz w:val="22"/>
          <w:szCs w:val="22"/>
          <w:lang w:val="fr-FR"/>
        </w:rPr>
      </w:pPr>
      <w:r w:rsidRPr="00856F74">
        <w:rPr>
          <w:b/>
          <w:sz w:val="22"/>
          <w:szCs w:val="22"/>
          <w:lang w:val="fr-FR"/>
        </w:rPr>
        <w:lastRenderedPageBreak/>
        <w:t>FINANCE</w:t>
      </w:r>
      <w:r>
        <w:rPr>
          <w:b/>
          <w:sz w:val="22"/>
          <w:szCs w:val="22"/>
          <w:lang w:val="fr-FR"/>
        </w:rPr>
        <w:t>S</w:t>
      </w:r>
    </w:p>
    <w:p w14:paraId="1F006ADB" w14:textId="77777777" w:rsidR="001353B9" w:rsidRPr="00856F74" w:rsidRDefault="001353B9" w:rsidP="001353B9">
      <w:pPr>
        <w:spacing w:after="120"/>
        <w:rPr>
          <w:rFonts w:cs="Arial"/>
          <w:sz w:val="22"/>
          <w:szCs w:val="22"/>
          <w:lang w:val="fr-FR"/>
        </w:rPr>
      </w:pPr>
      <w:r>
        <w:rPr>
          <w:rFonts w:cs="Arial"/>
          <w:sz w:val="22"/>
          <w:szCs w:val="22"/>
          <w:lang w:val="fr-FR"/>
        </w:rPr>
        <w:t xml:space="preserve">Le rapport financier du BSG pour les dix premiers mois indique des ventes nettes de 11 072 966 $, soit 296 283 $ (2,6%) inférieures aux prévisions ; les contributions ont dépassé les prévisions de 690 345 $, une amélioration sur les 618 638 $ de contributions rapportés au 30 septembre. Les dépenses pour la période de dix mois ont été de 508 761 $ moins élevées que prévu et 156 109 $ de plus qu’au 31 octobre 2015, à rapprocher des dépenses qui ont été de 690 129 $ moindres que prévu au 30 septembre 2016. Le profit net enregistré au cours des dix premiers mois a été de 819 446 $, à rapprocher de la perte prévue de 287 977 $ et de la perte de 60 832 $ enregistrée au cours des dix premiers mois de 2015. </w:t>
      </w:r>
    </w:p>
    <w:p w14:paraId="6E100D40" w14:textId="77777777" w:rsidR="001353B9" w:rsidRPr="00856F74" w:rsidRDefault="001353B9" w:rsidP="001353B9">
      <w:pPr>
        <w:spacing w:after="120"/>
        <w:rPr>
          <w:rFonts w:cs="Arial"/>
          <w:sz w:val="22"/>
          <w:szCs w:val="22"/>
          <w:lang w:val="fr-FR"/>
        </w:rPr>
      </w:pPr>
      <w:r>
        <w:rPr>
          <w:rFonts w:cs="Arial"/>
          <w:sz w:val="22"/>
          <w:szCs w:val="22"/>
          <w:lang w:val="fr-FR"/>
        </w:rPr>
        <w:t>Le comité a révisé le premier jet des informations pour le budget de 2017 qui tient compte d’une augmentation de la rubrique des salaires pour inclure un ajustement possible des échelles de salaires après une révision de tous les postes du BSG par un consultant en rémunération. Le premier jet du budget contient toujours l’hypothèse que les ventes en dollars au cours de 2017 seront stables par rapport à l’an dernier et que les contributions augmenteront de 8% par rapport au budget de 2016.</w:t>
      </w:r>
    </w:p>
    <w:p w14:paraId="78D94B34" w14:textId="77777777" w:rsidR="001353B9" w:rsidRPr="00856F74" w:rsidRDefault="001353B9" w:rsidP="001353B9">
      <w:pPr>
        <w:spacing w:after="120"/>
        <w:rPr>
          <w:rFonts w:cs="Arial"/>
          <w:sz w:val="22"/>
          <w:szCs w:val="22"/>
          <w:lang w:val="fr-FR"/>
        </w:rPr>
      </w:pPr>
      <w:r>
        <w:rPr>
          <w:rFonts w:cs="Arial"/>
          <w:sz w:val="22"/>
          <w:szCs w:val="22"/>
          <w:lang w:val="fr-FR"/>
        </w:rPr>
        <w:t>Greg Tobin, le directeur général, a fait rapport sur les modifications qui seront apportées à la salle du courrier du service de l’expédition qui n’était pas incluses dans les Phases 1 ou 2 du projet de Construction. Le Conseil a décidé que ces coûts seront capitalisés et dépréciés dans le temps à compter de 2017 et il a approuvé cette dépense.</w:t>
      </w:r>
    </w:p>
    <w:p w14:paraId="43270CF1" w14:textId="77777777" w:rsidR="001353B9" w:rsidRPr="00856F74" w:rsidRDefault="001353B9" w:rsidP="001353B9">
      <w:pPr>
        <w:spacing w:after="120"/>
        <w:rPr>
          <w:sz w:val="22"/>
          <w:szCs w:val="22"/>
          <w:lang w:val="fr-FR"/>
        </w:rPr>
      </w:pPr>
      <w:r>
        <w:rPr>
          <w:sz w:val="22"/>
          <w:szCs w:val="22"/>
          <w:lang w:val="fr-FR"/>
        </w:rPr>
        <w:t xml:space="preserve">Le comité a </w:t>
      </w:r>
      <w:r w:rsidRPr="001365D4">
        <w:rPr>
          <w:b/>
          <w:sz w:val="22"/>
          <w:szCs w:val="22"/>
          <w:lang w:val="fr-FR"/>
        </w:rPr>
        <w:t>recommandé</w:t>
      </w:r>
      <w:r>
        <w:rPr>
          <w:sz w:val="22"/>
          <w:szCs w:val="22"/>
          <w:lang w:val="fr-FR"/>
        </w:rPr>
        <w:t xml:space="preserve"> qu’un tableau (rapport) spécial soit soumis à la réunion de janvier qui inclurait tous les coûts (sauf les salaires) des TI pour 2016 (réels) et 2017 (estimés).</w:t>
      </w:r>
      <w:r w:rsidRPr="00856F74">
        <w:rPr>
          <w:sz w:val="22"/>
          <w:szCs w:val="22"/>
          <w:lang w:val="fr-FR"/>
        </w:rPr>
        <w:t xml:space="preserve"> </w:t>
      </w:r>
      <w:r>
        <w:rPr>
          <w:sz w:val="22"/>
          <w:szCs w:val="22"/>
          <w:lang w:val="fr-FR"/>
        </w:rPr>
        <w:t xml:space="preserve">Le comité a aussi </w:t>
      </w:r>
      <w:r w:rsidRPr="001365D4">
        <w:rPr>
          <w:b/>
          <w:sz w:val="22"/>
          <w:szCs w:val="22"/>
          <w:lang w:val="fr-FR"/>
        </w:rPr>
        <w:t>recommandé</w:t>
      </w:r>
      <w:r>
        <w:rPr>
          <w:sz w:val="22"/>
          <w:szCs w:val="22"/>
          <w:lang w:val="fr-FR"/>
        </w:rPr>
        <w:t xml:space="preserve"> </w:t>
      </w:r>
      <w:r>
        <w:rPr>
          <w:sz w:val="22"/>
          <w:szCs w:val="22"/>
          <w:lang w:val="fr-FR"/>
        </w:rPr>
        <w:tab/>
        <w:t xml:space="preserve">que le service des Finances crée une analyse et un échéancier pour la restructuration de la budgétisation, la comptabilisation et les rapports des coûts des TI (sauf les salaires) pour implantation en 2018. La recommandation a été </w:t>
      </w:r>
      <w:r w:rsidRPr="001365D4">
        <w:rPr>
          <w:b/>
          <w:sz w:val="22"/>
          <w:szCs w:val="22"/>
          <w:lang w:val="fr-FR"/>
        </w:rPr>
        <w:t>approuvée</w:t>
      </w:r>
      <w:r>
        <w:rPr>
          <w:sz w:val="22"/>
          <w:szCs w:val="22"/>
          <w:lang w:val="fr-FR"/>
        </w:rPr>
        <w:t>.</w:t>
      </w:r>
    </w:p>
    <w:p w14:paraId="4C28478D" w14:textId="77777777" w:rsidR="001353B9" w:rsidRPr="00856F74" w:rsidRDefault="001353B9" w:rsidP="001353B9">
      <w:pPr>
        <w:pStyle w:val="EnvelopeReturn1"/>
        <w:spacing w:after="120"/>
        <w:jc w:val="center"/>
        <w:rPr>
          <w:b/>
          <w:sz w:val="22"/>
          <w:szCs w:val="22"/>
          <w:lang w:val="fr-FR"/>
        </w:rPr>
      </w:pPr>
      <w:r>
        <w:rPr>
          <w:b/>
          <w:sz w:val="22"/>
          <w:szCs w:val="22"/>
          <w:lang w:val="fr-FR"/>
        </w:rPr>
        <w:t xml:space="preserve">AUTRES SUJETS </w:t>
      </w:r>
    </w:p>
    <w:p w14:paraId="404DC96F" w14:textId="77777777" w:rsidR="001353B9" w:rsidRDefault="001353B9" w:rsidP="001353B9">
      <w:pPr>
        <w:spacing w:after="120"/>
        <w:rPr>
          <w:rFonts w:cs="Arial"/>
          <w:bCs/>
          <w:sz w:val="22"/>
          <w:szCs w:val="22"/>
          <w:lang w:val="fr-FR"/>
        </w:rPr>
      </w:pPr>
      <w:r>
        <w:rPr>
          <w:rFonts w:cs="Arial"/>
          <w:bCs/>
          <w:sz w:val="22"/>
          <w:szCs w:val="22"/>
          <w:lang w:val="fr-FR"/>
        </w:rPr>
        <w:t>Le Conseil a discuté d’une communication de Robert Wilcox, président du comité du Conseil pour l’International, au sujet d’une « Stratégie d’autonomie financière pour la Réunion mondiale du service », qui sera portée à l’ordre du jour de la prochaine réunion.</w:t>
      </w:r>
    </w:p>
    <w:p w14:paraId="03357FAB" w14:textId="77777777" w:rsidR="001353B9" w:rsidRPr="00856F74" w:rsidRDefault="001353B9" w:rsidP="001353B9">
      <w:pPr>
        <w:spacing w:after="120"/>
        <w:rPr>
          <w:rFonts w:cs="Arial"/>
          <w:bCs/>
          <w:sz w:val="22"/>
          <w:szCs w:val="22"/>
          <w:lang w:val="fr-FR"/>
        </w:rPr>
      </w:pPr>
      <w:r>
        <w:rPr>
          <w:rFonts w:cs="Arial"/>
          <w:bCs/>
          <w:sz w:val="22"/>
          <w:szCs w:val="22"/>
          <w:lang w:val="fr-FR"/>
        </w:rPr>
        <w:t xml:space="preserve">Il a été </w:t>
      </w:r>
      <w:r w:rsidRPr="00BE1F45">
        <w:rPr>
          <w:rFonts w:cs="Arial"/>
          <w:b/>
          <w:bCs/>
          <w:sz w:val="22"/>
          <w:szCs w:val="22"/>
          <w:lang w:val="fr-FR"/>
        </w:rPr>
        <w:t>recommandé</w:t>
      </w:r>
      <w:r>
        <w:rPr>
          <w:rFonts w:cs="Arial"/>
          <w:bCs/>
          <w:sz w:val="22"/>
          <w:szCs w:val="22"/>
          <w:lang w:val="fr-FR"/>
        </w:rPr>
        <w:t xml:space="preserve"> que le document de service sur la Sécurité soumis par le personnel du BSG soit approuvé et soumis aux avocats pour révision et que la rédaction finale soit confiée au service de l’Édition. La recommandation a été </w:t>
      </w:r>
      <w:r w:rsidRPr="00BE1F45">
        <w:rPr>
          <w:rFonts w:cs="Arial"/>
          <w:b/>
          <w:bCs/>
          <w:sz w:val="22"/>
          <w:szCs w:val="22"/>
          <w:lang w:val="fr-FR"/>
        </w:rPr>
        <w:t>approuvée</w:t>
      </w:r>
      <w:r>
        <w:rPr>
          <w:rFonts w:cs="Arial"/>
          <w:b/>
          <w:bCs/>
          <w:sz w:val="22"/>
          <w:szCs w:val="22"/>
          <w:lang w:val="fr-FR"/>
        </w:rPr>
        <w:t xml:space="preserve">. </w:t>
      </w:r>
      <w:r>
        <w:rPr>
          <w:rFonts w:cs="Arial"/>
          <w:bCs/>
          <w:sz w:val="22"/>
          <w:szCs w:val="22"/>
          <w:lang w:val="fr-FR"/>
        </w:rPr>
        <w:t>Il a également été recommandé que le service de l’Édition prépare, avec la participation du personnel, une carte de Sécurité et qu’elle soit soumise au Conseil pour étude.</w:t>
      </w:r>
    </w:p>
    <w:p w14:paraId="366F7C84" w14:textId="77777777" w:rsidR="001353B9" w:rsidRPr="00856F74" w:rsidRDefault="001353B9" w:rsidP="001353B9">
      <w:pPr>
        <w:spacing w:after="120"/>
        <w:rPr>
          <w:rFonts w:cs="Arial"/>
          <w:sz w:val="22"/>
          <w:szCs w:val="22"/>
          <w:lang w:val="fr-FR"/>
        </w:rPr>
      </w:pPr>
      <w:r>
        <w:rPr>
          <w:rFonts w:cs="Arial"/>
          <w:bCs/>
          <w:sz w:val="22"/>
          <w:szCs w:val="22"/>
          <w:lang w:val="fr-FR"/>
        </w:rPr>
        <w:t xml:space="preserve">Il a été </w:t>
      </w:r>
      <w:r w:rsidRPr="00BE1F45">
        <w:rPr>
          <w:rFonts w:cs="Arial"/>
          <w:b/>
          <w:bCs/>
          <w:sz w:val="22"/>
          <w:szCs w:val="22"/>
          <w:lang w:val="fr-FR"/>
        </w:rPr>
        <w:t>recommandé</w:t>
      </w:r>
      <w:r>
        <w:rPr>
          <w:rFonts w:cs="Arial"/>
          <w:bCs/>
          <w:sz w:val="22"/>
          <w:szCs w:val="22"/>
          <w:lang w:val="fr-FR"/>
        </w:rPr>
        <w:t xml:space="preserve"> que la base de données du Congrès de 2016 soit mise à la disposition des Conseils d’A.A. World Services, Inc., et d’A.A. Grapevine, Inc. pour leur permettre de communiquer avec les participants pour des raisons autres que le Congrès international. Le premier contact sera fait par A.A. World Services, Inc., avec la possibilité d’une option positive. La recommandation a été </w:t>
      </w:r>
      <w:r w:rsidRPr="005A54D5">
        <w:rPr>
          <w:rFonts w:cs="Arial"/>
          <w:b/>
          <w:bCs/>
          <w:sz w:val="22"/>
          <w:szCs w:val="22"/>
          <w:lang w:val="fr-FR"/>
        </w:rPr>
        <w:t>approuvée</w:t>
      </w:r>
      <w:r>
        <w:rPr>
          <w:rFonts w:cs="Arial"/>
          <w:b/>
          <w:bCs/>
          <w:sz w:val="22"/>
          <w:szCs w:val="22"/>
          <w:lang w:val="fr-FR"/>
        </w:rPr>
        <w:t>.</w:t>
      </w:r>
    </w:p>
    <w:p w14:paraId="6E08B309" w14:textId="77777777" w:rsidR="001353B9" w:rsidRPr="00856F74" w:rsidRDefault="001353B9" w:rsidP="001353B9">
      <w:pPr>
        <w:spacing w:after="120"/>
        <w:rPr>
          <w:rFonts w:cs="Arial"/>
          <w:bCs/>
          <w:sz w:val="22"/>
          <w:szCs w:val="22"/>
          <w:lang w:val="fr-FR"/>
        </w:rPr>
      </w:pPr>
      <w:r>
        <w:rPr>
          <w:rFonts w:cs="Arial"/>
          <w:sz w:val="22"/>
          <w:szCs w:val="22"/>
          <w:lang w:val="fr-FR"/>
        </w:rPr>
        <w:t xml:space="preserve">Compte tenu de la croissance d’A.A.W.S., il a été </w:t>
      </w:r>
      <w:r w:rsidRPr="005A54D5">
        <w:rPr>
          <w:rFonts w:cs="Arial"/>
          <w:b/>
          <w:sz w:val="22"/>
          <w:szCs w:val="22"/>
          <w:lang w:val="fr-FR"/>
        </w:rPr>
        <w:t>recommandé</w:t>
      </w:r>
      <w:r>
        <w:rPr>
          <w:rFonts w:cs="Arial"/>
          <w:b/>
          <w:sz w:val="22"/>
          <w:szCs w:val="22"/>
          <w:lang w:val="fr-FR"/>
        </w:rPr>
        <w:t xml:space="preserve"> </w:t>
      </w:r>
      <w:r>
        <w:rPr>
          <w:rFonts w:cs="Arial"/>
          <w:sz w:val="22"/>
          <w:szCs w:val="22"/>
          <w:lang w:val="fr-FR"/>
        </w:rPr>
        <w:t xml:space="preserve">de créer un sous-comité pour planifier un comité de l’Audit pour A.A.W.S. La recommandation a été </w:t>
      </w:r>
      <w:r w:rsidRPr="005A54D5">
        <w:rPr>
          <w:rFonts w:cs="Arial"/>
          <w:b/>
          <w:sz w:val="22"/>
          <w:szCs w:val="22"/>
          <w:lang w:val="fr-FR"/>
        </w:rPr>
        <w:t>approuvée</w:t>
      </w:r>
      <w:r>
        <w:rPr>
          <w:rFonts w:cs="Arial"/>
          <w:sz w:val="22"/>
          <w:szCs w:val="22"/>
          <w:lang w:val="fr-FR"/>
        </w:rPr>
        <w:t xml:space="preserve">.  </w:t>
      </w:r>
    </w:p>
    <w:p w14:paraId="5EC9645E" w14:textId="77777777" w:rsidR="001353B9" w:rsidRPr="00856F74" w:rsidRDefault="001353B9" w:rsidP="001353B9">
      <w:pPr>
        <w:pStyle w:val="EnvelopeReturn1"/>
        <w:spacing w:after="120"/>
        <w:jc w:val="center"/>
        <w:rPr>
          <w:rFonts w:ascii="Times New Roman" w:eastAsia="Times New Roman" w:hAnsi="Times New Roman"/>
          <w:color w:val="auto"/>
          <w:sz w:val="22"/>
          <w:szCs w:val="22"/>
          <w:lang w:val="fr-FR" w:bidi="x-none"/>
        </w:rPr>
      </w:pPr>
      <w:r w:rsidRPr="00856F74">
        <w:rPr>
          <w:sz w:val="22"/>
          <w:szCs w:val="22"/>
          <w:lang w:val="fr-FR"/>
        </w:rPr>
        <w:t>###</w:t>
      </w:r>
    </w:p>
    <w:p w14:paraId="6F1C4CFA" w14:textId="77777777" w:rsidR="00A307B5" w:rsidRDefault="00A307B5"/>
    <w:sectPr w:rsidR="00A307B5" w:rsidSect="003372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63A2D" w14:textId="77777777" w:rsidR="007B37EC" w:rsidRDefault="007B37EC" w:rsidP="00A53D0C">
      <w:r>
        <w:separator/>
      </w:r>
    </w:p>
  </w:endnote>
  <w:endnote w:type="continuationSeparator" w:id="0">
    <w:p w14:paraId="203215ED" w14:textId="77777777" w:rsidR="007B37EC" w:rsidRDefault="007B37EC" w:rsidP="00A5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05EB" w14:textId="77777777" w:rsidR="007B37EC" w:rsidRDefault="007B37EC" w:rsidP="00A53D0C">
      <w:r>
        <w:separator/>
      </w:r>
    </w:p>
  </w:footnote>
  <w:footnote w:type="continuationSeparator" w:id="0">
    <w:p w14:paraId="5895287A" w14:textId="77777777" w:rsidR="007B37EC" w:rsidRDefault="007B37EC" w:rsidP="00A5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C671" w14:textId="77777777" w:rsidR="00A53D0C" w:rsidRDefault="00A53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B9"/>
    <w:rsid w:val="001353B9"/>
    <w:rsid w:val="0033724C"/>
    <w:rsid w:val="003C3458"/>
    <w:rsid w:val="007B37EC"/>
    <w:rsid w:val="009A3CAC"/>
    <w:rsid w:val="00A307B5"/>
    <w:rsid w:val="00A53D0C"/>
    <w:rsid w:val="00A978FB"/>
    <w:rsid w:val="00D0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C86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353B9"/>
    <w:pPr>
      <w:jc w:val="both"/>
    </w:pPr>
    <w:rPr>
      <w:rFonts w:ascii="Arial" w:eastAsia="ヒラギノ角ゴ Pro W3" w:hAnsi="Arial"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Return1">
    <w:name w:val="Envelope Return1"/>
    <w:rsid w:val="001353B9"/>
    <w:rPr>
      <w:rFonts w:ascii="Arial" w:eastAsia="ヒラギノ角ゴ Pro W3" w:hAnsi="Arial" w:cs="Times New Roman"/>
      <w:color w:val="000000"/>
      <w:szCs w:val="20"/>
    </w:rPr>
  </w:style>
  <w:style w:type="paragraph" w:styleId="Header">
    <w:name w:val="header"/>
    <w:basedOn w:val="Normal"/>
    <w:link w:val="HeaderChar"/>
    <w:uiPriority w:val="99"/>
    <w:unhideWhenUsed/>
    <w:rsid w:val="00A53D0C"/>
    <w:pPr>
      <w:tabs>
        <w:tab w:val="center" w:pos="4680"/>
        <w:tab w:val="right" w:pos="9360"/>
      </w:tabs>
    </w:pPr>
  </w:style>
  <w:style w:type="character" w:customStyle="1" w:styleId="HeaderChar">
    <w:name w:val="Header Char"/>
    <w:basedOn w:val="DefaultParagraphFont"/>
    <w:link w:val="Header"/>
    <w:uiPriority w:val="99"/>
    <w:rsid w:val="00A53D0C"/>
    <w:rPr>
      <w:rFonts w:ascii="Arial" w:eastAsia="ヒラギノ角ゴ Pro W3" w:hAnsi="Arial" w:cs="Times New Roman"/>
      <w:color w:val="000000"/>
    </w:rPr>
  </w:style>
  <w:style w:type="paragraph" w:styleId="Footer">
    <w:name w:val="footer"/>
    <w:basedOn w:val="Normal"/>
    <w:link w:val="FooterChar"/>
    <w:uiPriority w:val="99"/>
    <w:unhideWhenUsed/>
    <w:rsid w:val="00A53D0C"/>
    <w:pPr>
      <w:tabs>
        <w:tab w:val="center" w:pos="4680"/>
        <w:tab w:val="right" w:pos="9360"/>
      </w:tabs>
    </w:pPr>
  </w:style>
  <w:style w:type="character" w:customStyle="1" w:styleId="FooterChar">
    <w:name w:val="Footer Char"/>
    <w:basedOn w:val="DefaultParagraphFont"/>
    <w:link w:val="Footer"/>
    <w:uiPriority w:val="99"/>
    <w:rsid w:val="00A53D0C"/>
    <w:rPr>
      <w:rFonts w:ascii="Arial" w:eastAsia="ヒラギノ角ゴ Pro W3"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2015ic</cp:lastModifiedBy>
  <cp:revision>2</cp:revision>
  <dcterms:created xsi:type="dcterms:W3CDTF">2017-01-18T17:34:00Z</dcterms:created>
  <dcterms:modified xsi:type="dcterms:W3CDTF">2017-01-18T17:34:00Z</dcterms:modified>
</cp:coreProperties>
</file>